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301" w14:textId="77777777" w:rsidR="00A846F3" w:rsidRPr="00A846F3" w:rsidRDefault="00A846F3" w:rsidP="00A846F3">
      <w:pPr>
        <w:shd w:val="clear" w:color="auto" w:fill="FFFFFF"/>
        <w:spacing w:after="120" w:line="240" w:lineRule="auto"/>
        <w:outlineLvl w:val="0"/>
        <w:rPr>
          <w:rFonts w:ascii="Titillium Web" w:eastAsia="Times New Roman" w:hAnsi="Titillium Web" w:cs="Times New Roman"/>
          <w:b/>
          <w:bCs/>
          <w:color w:val="19191A"/>
          <w:spacing w:val="-18"/>
          <w:kern w:val="36"/>
          <w:sz w:val="48"/>
          <w:szCs w:val="48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b/>
          <w:bCs/>
          <w:color w:val="19191A"/>
          <w:spacing w:val="-18"/>
          <w:kern w:val="36"/>
          <w:sz w:val="48"/>
          <w:szCs w:val="48"/>
          <w:lang w:eastAsia="it-IT"/>
          <w14:ligatures w14:val="none"/>
        </w:rPr>
        <w:t>BANDO DOTE SPORT 2023/2024 REGIONE LOMBARDIA</w:t>
      </w:r>
    </w:p>
    <w:p w14:paraId="67E4F300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Dote Sport è un'iniziativa pensata per aiutare i nuclei familiari in condizioni economiche meno favorevoli ad avvicinare i propri figli allo sport. Sarà possibile presentare domanda a partire dalle ore 10 del 22 febbraio 2024 ed entro le ore 12 del 22 marzo 2024 direttamente sul sito di Regione Lombardia.</w:t>
      </w:r>
    </w:p>
    <w:p w14:paraId="58A8E4D1" w14:textId="77777777" w:rsidR="00A113BF" w:rsidRDefault="00A113BF"/>
    <w:p w14:paraId="763E80BB" w14:textId="77777777" w:rsidR="00A846F3" w:rsidRPr="00A846F3" w:rsidRDefault="00A846F3" w:rsidP="00A846F3">
      <w:pPr>
        <w:shd w:val="clear" w:color="auto" w:fill="FFFFFF"/>
        <w:spacing w:after="120" w:line="240" w:lineRule="auto"/>
        <w:outlineLvl w:val="4"/>
        <w:rPr>
          <w:rFonts w:ascii="Titillium Web" w:eastAsia="Times New Roman" w:hAnsi="Titillium Web" w:cs="Times New Roman"/>
          <w:color w:val="19191A"/>
          <w:kern w:val="0"/>
          <w:sz w:val="20"/>
          <w:szCs w:val="20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0"/>
          <w:szCs w:val="20"/>
          <w:lang w:eastAsia="it-IT"/>
          <w14:ligatures w14:val="none"/>
        </w:rPr>
        <w:t>Contenuto</w:t>
      </w:r>
    </w:p>
    <w:p w14:paraId="56DD7B7F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proofErr w:type="gramStart"/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Per  accedere</w:t>
      </w:r>
      <w:proofErr w:type="gramEnd"/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 al bando, le famiglie devono essere in possesso dei seguenti requisiti:</w:t>
      </w:r>
    </w:p>
    <w:p w14:paraId="09D790D4" w14:textId="77777777" w:rsidR="00A846F3" w:rsidRPr="00A846F3" w:rsidRDefault="00A846F3" w:rsidP="00A8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residenza continuativa di 5 anni in Lombardia </w:t>
      </w: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(almeno dal 22/03/2019) alla data di chiusura del bando, di uno dei genitori/genitore affidatario/tutore;</w:t>
      </w:r>
    </w:p>
    <w:p w14:paraId="2DDBD8C1" w14:textId="77777777" w:rsidR="00A846F3" w:rsidRPr="00A846F3" w:rsidRDefault="00A846F3" w:rsidP="00A8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valore </w:t>
      </w: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ISEE ordinario o minorenni, richiesto dal 1° gennaio 2024, non superiore a 15.000 euro </w:t>
      </w: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(25.000 euro se nel nucleo familiare è presente un minore disabile);</w:t>
      </w:r>
    </w:p>
    <w:p w14:paraId="66171F61" w14:textId="77777777" w:rsidR="00A846F3" w:rsidRPr="00A846F3" w:rsidRDefault="00A846F3" w:rsidP="00A8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figli minori di età tra </w:t>
      </w: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i 6 e i 17 ann</w:t>
      </w: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i (nati tra il 1° gennaio 2007 e il 31 dicembre 2018);</w:t>
      </w:r>
    </w:p>
    <w:p w14:paraId="201BC014" w14:textId="77777777" w:rsidR="00A846F3" w:rsidRPr="00A846F3" w:rsidRDefault="00A846F3" w:rsidP="00A8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scrizione del minore a corsi sportivi svolti </w:t>
      </w: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sul territorio lombardo</w:t>
      </w: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, della durata di almeno 6 mesi, con costo complessivo compreso tra 100 euro e 600 euro e tenuti da:</w:t>
      </w:r>
    </w:p>
    <w:p w14:paraId="63A4920F" w14:textId="77777777" w:rsidR="00A846F3" w:rsidRPr="00A846F3" w:rsidRDefault="00A846F3" w:rsidP="00A8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associazioni o società sportive dilettantistiche iscritte al Registro nazionale della Attività Sportive Dilettantistiche a dicembre 2023</w:t>
      </w:r>
    </w:p>
    <w:p w14:paraId="3B843EA3" w14:textId="77777777" w:rsidR="00A846F3" w:rsidRPr="00A846F3" w:rsidRDefault="00A846F3" w:rsidP="00A8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società in house di Enti Locali lombardi che gestiscono impianti sportivi (es. Milanosport).</w:t>
      </w:r>
    </w:p>
    <w:p w14:paraId="5B63D059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La Dote Sport è un contributo a fondo perduto, integrale o parziale, del valore di 100,00 euro, a rimborso delle spese sostenute per l’attività sportiva dei figli minori. La Dote Sport non potrà essere richiesta per corsi dal costo inferiore a euro 100,00 o superiore a euro 600,00.</w:t>
      </w:r>
    </w:p>
    <w:p w14:paraId="1F3CDE12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La domanda di Dote Sport può essere presentata, solo se in possesso dei requisiti, </w:t>
      </w: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a partire dalle ore 10.00 del 22 febbraio 2024 ed entro e non oltre le ore 12.00 del </w:t>
      </w: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lastRenderedPageBreak/>
        <w:t>22 marzo 2024</w:t>
      </w: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, </w:t>
      </w: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esclusivamente attraverso la piattaforma informatica Bandi e Servizi</w:t>
      </w: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 di Regione Lombardia: </w:t>
      </w:r>
      <w:hyperlink r:id="rId5" w:history="1">
        <w:r w:rsidRPr="00A846F3">
          <w:rPr>
            <w:rFonts w:ascii="Titillium Web" w:eastAsia="Times New Roman" w:hAnsi="Titillium Web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www.bandi.regione.lombardia.it</w:t>
        </w:r>
      </w:hyperlink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 da: </w:t>
      </w:r>
    </w:p>
    <w:p w14:paraId="7D20160D" w14:textId="77777777" w:rsidR="00A846F3" w:rsidRPr="00A846F3" w:rsidRDefault="00A846F3" w:rsidP="00A84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genitore che convive con il minore;</w:t>
      </w:r>
    </w:p>
    <w:p w14:paraId="52FAF5CB" w14:textId="77777777" w:rsidR="00A846F3" w:rsidRPr="00A846F3" w:rsidRDefault="00A846F3" w:rsidP="00A84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genitore affidatario che convive con il minore, in possesso di apposita documentazione legale attestante tale qualifica;</w:t>
      </w:r>
    </w:p>
    <w:p w14:paraId="00B45D5E" w14:textId="77777777" w:rsidR="00A846F3" w:rsidRPr="00A846F3" w:rsidRDefault="00A846F3" w:rsidP="00A84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tutore che convive con il minore, in possesso di apposita documentazione legale attestante tale qualifica.</w:t>
      </w:r>
    </w:p>
    <w:p w14:paraId="226E92DA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Per presentare la domanda di Dote Sport il genitore/genitore affidatario/tutore deve registrarsi sulla piattaforma Bandi e Servizi con una delle seguenti modalità:</w:t>
      </w:r>
    </w:p>
    <w:p w14:paraId="0704756A" w14:textId="77777777" w:rsidR="00A846F3" w:rsidRPr="00A846F3" w:rsidRDefault="00A846F3" w:rsidP="00A84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Sistema Pubblico Identità Digitale (SPID)</w:t>
      </w:r>
    </w:p>
    <w:p w14:paraId="511915AC" w14:textId="77777777" w:rsidR="00A846F3" w:rsidRPr="00A846F3" w:rsidRDefault="00A846F3" w:rsidP="00A84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Carta Nazionale dei Servizi (CNS) – Carta di Identità Elettronica (CIE)</w:t>
      </w:r>
    </w:p>
    <w:p w14:paraId="4A61457B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Per ulteriori informazioni sull’attivazione e l’utilizzo di SPID, CIE e CNS per accedere ai servizi online di Regione Lombardia, consulta gli approfondimenti riportati </w:t>
      </w:r>
      <w:hyperlink r:id="rId6" w:history="1">
        <w:r w:rsidRPr="00A846F3">
          <w:rPr>
            <w:rFonts w:ascii="Titillium Web" w:eastAsia="Times New Roman" w:hAnsi="Titillium Web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sulla pagina dedicata</w:t>
        </w:r>
      </w:hyperlink>
    </w:p>
    <w:p w14:paraId="10B367B0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i/>
          <w:iCs/>
          <w:color w:val="19191A"/>
          <w:kern w:val="0"/>
          <w:sz w:val="27"/>
          <w:szCs w:val="27"/>
          <w:lang w:eastAsia="it-IT"/>
          <w14:ligatures w14:val="none"/>
        </w:rPr>
        <w:t>Per chi è già registrato su Bandi e Servizi, prima di procedere con la compilazione della domanda, occorre verificare la correttezza dei dati presenti nel proprio profilo e se necessario procedere all’aggiornamento. Si ricorda che la correttezza dei dati presenti sul profilo all’interno del Sistema Informativo è a esclusiva cura e responsabilità del soggetto richiedente</w:t>
      </w:r>
    </w:p>
    <w:p w14:paraId="4D9D82E9" w14:textId="77777777" w:rsidR="00A846F3" w:rsidRPr="00A846F3" w:rsidRDefault="00A846F3" w:rsidP="00A846F3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Per ogni informazione relativa al bando:</w:t>
      </w:r>
    </w:p>
    <w:p w14:paraId="2EB3F26C" w14:textId="77777777" w:rsidR="00A846F3" w:rsidRPr="00A846F3" w:rsidRDefault="00A846F3" w:rsidP="00A846F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chiamare il numero verde 800.318.318 (gratuito da rete fissa) - tasto 1 oppure numero 02 3232 3325 (a pagamento da rete mobile e dall'estero).</w:t>
      </w:r>
    </w:p>
    <w:p w14:paraId="4867E18A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ind w:left="72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Il servizio è attivo dal lunedì al sabato, esclusi i festivi, dalle ore 8.00 alle 20.00</w:t>
      </w:r>
    </w:p>
    <w:p w14:paraId="54444FD6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ind w:left="72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Oppure scrivere alla casella mail </w:t>
      </w:r>
      <w:hyperlink r:id="rId7" w:history="1">
        <w:r w:rsidRPr="00A846F3">
          <w:rPr>
            <w:rFonts w:ascii="Titillium Web" w:eastAsia="Times New Roman" w:hAnsi="Titillium Web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dotesport@regione.lombardia.it.</w:t>
        </w:r>
      </w:hyperlink>
    </w:p>
    <w:p w14:paraId="5BB7A360" w14:textId="77777777" w:rsidR="00A846F3" w:rsidRPr="00A846F3" w:rsidRDefault="00A846F3" w:rsidP="00A846F3">
      <w:pPr>
        <w:shd w:val="clear" w:color="auto" w:fill="FFFFFF"/>
        <w:spacing w:after="100" w:afterAutospacing="1" w:line="240" w:lineRule="auto"/>
        <w:ind w:left="72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Per assistenza informatica:</w:t>
      </w:r>
    </w:p>
    <w:p w14:paraId="2F038386" w14:textId="77777777" w:rsidR="00A846F3" w:rsidRPr="00A846F3" w:rsidRDefault="00A846F3" w:rsidP="00A846F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A846F3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lastRenderedPageBreak/>
        <w:t>chiamare il numero verde 800.131.151 attivo dal lunedì al sabato, esclusi i festivi, dalle ore 8.00 alle 20.00 o scrivere a bandi@regione.lombardia.it.</w:t>
      </w:r>
    </w:p>
    <w:p w14:paraId="3F3A5E23" w14:textId="77777777" w:rsidR="00A846F3" w:rsidRDefault="00A846F3"/>
    <w:sectPr w:rsidR="00A84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CC7"/>
    <w:multiLevelType w:val="multilevel"/>
    <w:tmpl w:val="292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626CE"/>
    <w:multiLevelType w:val="multilevel"/>
    <w:tmpl w:val="AB5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81FD5"/>
    <w:multiLevelType w:val="multilevel"/>
    <w:tmpl w:val="E54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87541"/>
    <w:multiLevelType w:val="multilevel"/>
    <w:tmpl w:val="37D6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B5D1C"/>
    <w:multiLevelType w:val="multilevel"/>
    <w:tmpl w:val="67A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096075">
    <w:abstractNumId w:val="4"/>
  </w:num>
  <w:num w:numId="2" w16cid:durableId="1683044923">
    <w:abstractNumId w:val="1"/>
  </w:num>
  <w:num w:numId="3" w16cid:durableId="407267825">
    <w:abstractNumId w:val="2"/>
  </w:num>
  <w:num w:numId="4" w16cid:durableId="1817717616">
    <w:abstractNumId w:val="0"/>
  </w:num>
  <w:num w:numId="5" w16cid:durableId="734350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F3"/>
    <w:rsid w:val="00A113BF"/>
    <w:rsid w:val="00A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35D8"/>
  <w15:chartTrackingRefBased/>
  <w15:docId w15:val="{C967FD8B-3274-4624-B689-438830DD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46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46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46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46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46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46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46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46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46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46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46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46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46F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46F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46F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46F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46F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46F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46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84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46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46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46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46F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846F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846F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46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46F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846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38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6402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0557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31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tesport@regione.lombardia.i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lombardia.it/wps/portal/istituzionale/HP/DettaglioRedazionale/servizi-e-informazioni/cittadini/diritti-e-tutele/identita-digitale-accesso-servizi-online" TargetMode="External"/><Relationship Id="rId5" Type="http://schemas.openxmlformats.org/officeDocument/2006/relationships/hyperlink" Target="http://www.bandi.regione.lombardi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2024-02-19T07:46:00Z</dcterms:created>
  <dcterms:modified xsi:type="dcterms:W3CDTF">2024-02-19T07:48:00Z</dcterms:modified>
</cp:coreProperties>
</file>